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Понятие специальных знаний в уголовном судопроизводстве.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Роль специальных знаний в достижении назначения уголовного судопроизводства.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Сроки производства судебных экспертиз и их роль в соблюдении разумного срока уголовного судопроизводства.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Использование специальных знаний для обоснования судебных решений.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Презумпция невиновности и ее роль в использовании специальных знаний.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Использование специальных знаний на предварительном следствии в уголовно-процессуальном доказывании.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Роль и значение специальных знаний в производстве по применению принудительных мер медицинского характера.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Способы легализации результатов ОРД, полученных с использованием специальных знаний, в уголовном судопроизводстве.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Правовая экспертиза по уголовным делам и легитимность ее результатов в уголовно-процессуальном доказывании.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Нетрадиционные способы использования специальных знаний и их роль в уголовно-процессуальном доказывании.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Сравнительный анализ заключения эксперта и заключения специалиста.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Состязательность как принцип использования специальных знаний.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Признание результатов использования специальных знаний недопустимыми доказательствами: основания и процессуальный порядок.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Обеспечение прав потерпевшего в использовании специальных знаний в уголовном судопроизводстве: практика Конституционного Суда РФ.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Равные возможности сторон в использовании специальных знаний как необходимый элемент права на справедливое судебное разбирательство: практика Европейского суда по правам человека.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Правовые возможности защитника в использовании специальных знаний на стадии предварительного расследования.</w:t>
      </w:r>
    </w:p>
    <w:p w:rsidR="00641626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Исключение недопустимых доказательств, полученных с использованием специальных знаний, как недопустимых доказательств на предварительном слушании.</w:t>
      </w:r>
    </w:p>
    <w:p w:rsidR="00641626" w:rsidRPr="0051676F" w:rsidRDefault="00641626" w:rsidP="00641626">
      <w:pPr>
        <w:numPr>
          <w:ilvl w:val="0"/>
          <w:numId w:val="1"/>
        </w:numPr>
        <w:jc w:val="both"/>
      </w:pPr>
      <w:r>
        <w:rPr>
          <w:sz w:val="28"/>
          <w:szCs w:val="28"/>
        </w:rPr>
        <w:t>Критерии допустимости использования специальных знаний и технических средств в уголовном судопроизводстве.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62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1626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3586A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SGAP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2020-09-09T06:51:00Z</dcterms:created>
  <dcterms:modified xsi:type="dcterms:W3CDTF">2020-09-09T06:51:00Z</dcterms:modified>
</cp:coreProperties>
</file>